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1D6C" w14:textId="1D035F5E" w:rsidR="00AE7364" w:rsidRPr="007F6219" w:rsidRDefault="00AE7364" w:rsidP="00AE7364">
      <w:pPr>
        <w:shd w:val="clear" w:color="auto" w:fill="FFFFFF"/>
        <w:spacing w:after="255" w:line="270" w:lineRule="atLeast"/>
        <w:jc w:val="center"/>
        <w:outlineLvl w:val="2"/>
        <w:rPr>
          <w:rFonts w:ascii="Times New Roman" w:eastAsia="Times New Roman" w:hAnsi="Times New Roman" w:cs="Times New Roman"/>
          <w:b/>
          <w:bCs/>
          <w:color w:val="FF0000"/>
          <w:sz w:val="28"/>
          <w:szCs w:val="28"/>
          <w:lang w:eastAsia="ru-RU"/>
        </w:rPr>
      </w:pPr>
      <w:r w:rsidRPr="007F6219">
        <w:rPr>
          <w:rFonts w:ascii="Times New Roman" w:eastAsia="Times New Roman" w:hAnsi="Times New Roman" w:cs="Times New Roman"/>
          <w:b/>
          <w:bCs/>
          <w:color w:val="FF0000"/>
          <w:sz w:val="28"/>
          <w:szCs w:val="28"/>
          <w:lang w:eastAsia="ru-RU"/>
        </w:rPr>
        <w:t>Прием и рассмотрение апелляций-ГИА 11</w:t>
      </w:r>
    </w:p>
    <w:p w14:paraId="01898245"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14:paraId="13572FDD"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12D3FDDE"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69BEDEB0"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14:paraId="5A71EE80"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FD77D83"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8F702B3"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103. При рассмотрении апелляции также могут присутствовать:</w:t>
      </w:r>
    </w:p>
    <w:p w14:paraId="672F6D62"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 члены ГЭК - по решению председателя ГЭК;</w:t>
      </w:r>
    </w:p>
    <w:p w14:paraId="21843912"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2) аккредитованные общественные наблюдатели;</w:t>
      </w:r>
    </w:p>
    <w:p w14:paraId="688E33AA"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3260EF94"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 xml:space="preserve">4) сурдопереводчик, </w:t>
      </w:r>
      <w:proofErr w:type="spellStart"/>
      <w:r w:rsidRPr="007F6219">
        <w:rPr>
          <w:rFonts w:ascii="Times New Roman" w:eastAsia="Times New Roman" w:hAnsi="Times New Roman" w:cs="Times New Roman"/>
          <w:color w:val="333333"/>
          <w:sz w:val="24"/>
          <w:szCs w:val="24"/>
          <w:lang w:eastAsia="ru-RU"/>
        </w:rPr>
        <w:t>тифлопереводчик</w:t>
      </w:r>
      <w:proofErr w:type="spellEnd"/>
      <w:r w:rsidRPr="007F6219">
        <w:rPr>
          <w:rFonts w:ascii="Times New Roman" w:eastAsia="Times New Roman" w:hAnsi="Times New Roman" w:cs="Times New Roman"/>
          <w:color w:val="333333"/>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14:paraId="4BD3CD0B"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176DF564"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104. Рассмотрение апелляции проводится в спокойной и доброжелательной обстановке.</w:t>
      </w:r>
    </w:p>
    <w:p w14:paraId="706BC15C"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14:paraId="70E5E3ED"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105. Апелляцию о нарушении Порядка (за исключением случаев, установленных </w:t>
      </w:r>
      <w:hyperlink r:id="rId6" w:anchor="1100" w:history="1">
        <w:r w:rsidRPr="007F6219">
          <w:rPr>
            <w:rFonts w:ascii="Times New Roman" w:eastAsia="Times New Roman" w:hAnsi="Times New Roman" w:cs="Times New Roman"/>
            <w:color w:val="808080"/>
            <w:sz w:val="24"/>
            <w:szCs w:val="24"/>
            <w:u w:val="single"/>
            <w:bdr w:val="none" w:sz="0" w:space="0" w:color="auto" w:frame="1"/>
            <w:lang w:eastAsia="ru-RU"/>
          </w:rPr>
          <w:t>пунктом 100</w:t>
        </w:r>
      </w:hyperlink>
      <w:r w:rsidRPr="007F6219">
        <w:rPr>
          <w:rFonts w:ascii="Times New Roman" w:eastAsia="Times New Roman" w:hAnsi="Times New Roman" w:cs="Times New Roman"/>
          <w:color w:val="333333"/>
          <w:sz w:val="24"/>
          <w:szCs w:val="24"/>
          <w:lang w:eastAsia="ru-RU"/>
        </w:rPr>
        <w:t> Порядка) участник экзамена подает в день проведения экзамена по соответствующему учебному предмету члену ГЭК, не покидая ППЭ.</w:t>
      </w:r>
    </w:p>
    <w:p w14:paraId="3E65DE87"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w:t>
      </w:r>
      <w:r w:rsidRPr="007F6219">
        <w:rPr>
          <w:rFonts w:ascii="Times New Roman" w:eastAsia="Times New Roman" w:hAnsi="Times New Roman" w:cs="Times New Roman"/>
          <w:color w:val="333333"/>
          <w:sz w:val="24"/>
          <w:szCs w:val="24"/>
          <w:lang w:eastAsia="ru-RU"/>
        </w:rPr>
        <w:lastRenderedPageBreak/>
        <w:t>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6516BC61"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14:paraId="3445BF30"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 об отклонении апелляции;</w:t>
      </w:r>
    </w:p>
    <w:p w14:paraId="72C46821"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2) об удовлетворении апелляции.</w:t>
      </w:r>
    </w:p>
    <w:p w14:paraId="73DBB611"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7" w:anchor="111153" w:history="1">
        <w:r w:rsidRPr="007F6219">
          <w:rPr>
            <w:rFonts w:ascii="Times New Roman" w:eastAsia="Times New Roman" w:hAnsi="Times New Roman" w:cs="Times New Roman"/>
            <w:color w:val="808080"/>
            <w:sz w:val="24"/>
            <w:szCs w:val="24"/>
            <w:u w:val="single"/>
            <w:bdr w:val="none" w:sz="0" w:space="0" w:color="auto" w:frame="1"/>
            <w:vertAlign w:val="superscript"/>
            <w:lang w:eastAsia="ru-RU"/>
          </w:rPr>
          <w:t>53</w:t>
        </w:r>
      </w:hyperlink>
      <w:r w:rsidRPr="007F6219">
        <w:rPr>
          <w:rFonts w:ascii="Times New Roman" w:eastAsia="Times New Roman" w:hAnsi="Times New Roman" w:cs="Times New Roman"/>
          <w:color w:val="333333"/>
          <w:sz w:val="24"/>
          <w:szCs w:val="24"/>
          <w:lang w:eastAsia="ru-RU"/>
        </w:rPr>
        <w:t>.</w:t>
      </w:r>
    </w:p>
    <w:p w14:paraId="4EE4A296"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343E2A70"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106. Апелляция о несогласии с выставленными баллами, в том числе по результатам перепроверки экзаменационной работы в соответствии с </w:t>
      </w:r>
      <w:hyperlink r:id="rId8" w:anchor="1088" w:history="1">
        <w:r w:rsidRPr="007F6219">
          <w:rPr>
            <w:rFonts w:ascii="Times New Roman" w:eastAsia="Times New Roman" w:hAnsi="Times New Roman" w:cs="Times New Roman"/>
            <w:color w:val="808080"/>
            <w:sz w:val="24"/>
            <w:szCs w:val="24"/>
            <w:u w:val="single"/>
            <w:bdr w:val="none" w:sz="0" w:space="0" w:color="auto" w:frame="1"/>
            <w:lang w:eastAsia="ru-RU"/>
          </w:rPr>
          <w:t>пунктом 88</w:t>
        </w:r>
      </w:hyperlink>
      <w:r w:rsidRPr="007F6219">
        <w:rPr>
          <w:rFonts w:ascii="Times New Roman" w:eastAsia="Times New Roman" w:hAnsi="Times New Roman" w:cs="Times New Roman"/>
          <w:color w:val="333333"/>
          <w:sz w:val="24"/>
          <w:szCs w:val="24"/>
          <w:lang w:eastAsia="ru-RU"/>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14:paraId="4FEECB46"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9" w:anchor="1099" w:history="1">
        <w:r w:rsidRPr="007F6219">
          <w:rPr>
            <w:rFonts w:ascii="Times New Roman" w:eastAsia="Times New Roman" w:hAnsi="Times New Roman" w:cs="Times New Roman"/>
            <w:color w:val="808080"/>
            <w:sz w:val="24"/>
            <w:szCs w:val="24"/>
            <w:u w:val="single"/>
            <w:bdr w:val="none" w:sz="0" w:space="0" w:color="auto" w:frame="1"/>
            <w:lang w:eastAsia="ru-RU"/>
          </w:rPr>
          <w:t>пунктом 99</w:t>
        </w:r>
      </w:hyperlink>
      <w:r w:rsidRPr="007F6219">
        <w:rPr>
          <w:rFonts w:ascii="Times New Roman" w:eastAsia="Times New Roman" w:hAnsi="Times New Roman" w:cs="Times New Roman"/>
          <w:color w:val="333333"/>
          <w:sz w:val="24"/>
          <w:szCs w:val="24"/>
          <w:lang w:eastAsia="ru-RU"/>
        </w:rPr>
        <w:t> Порядка).</w:t>
      </w:r>
    </w:p>
    <w:p w14:paraId="16F92C4D"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10" w:anchor="1099" w:history="1">
        <w:r w:rsidRPr="007F6219">
          <w:rPr>
            <w:rFonts w:ascii="Times New Roman" w:eastAsia="Times New Roman" w:hAnsi="Times New Roman" w:cs="Times New Roman"/>
            <w:color w:val="808080"/>
            <w:sz w:val="24"/>
            <w:szCs w:val="24"/>
            <w:u w:val="single"/>
            <w:bdr w:val="none" w:sz="0" w:space="0" w:color="auto" w:frame="1"/>
            <w:lang w:eastAsia="ru-RU"/>
          </w:rPr>
          <w:t>пунктом 99</w:t>
        </w:r>
      </w:hyperlink>
      <w:r w:rsidRPr="007F6219">
        <w:rPr>
          <w:rFonts w:ascii="Times New Roman" w:eastAsia="Times New Roman" w:hAnsi="Times New Roman" w:cs="Times New Roman"/>
          <w:color w:val="333333"/>
          <w:sz w:val="24"/>
          <w:szCs w:val="24"/>
          <w:lang w:eastAsia="ru-RU"/>
        </w:rPr>
        <w:t> Порядка).</w:t>
      </w:r>
    </w:p>
    <w:p w14:paraId="702540B7"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603095E7"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107. До заседания апелляционной комиссии по рассмотрению апелляции о несогласии с выставленными баллами апелляционная комиссия:</w:t>
      </w:r>
    </w:p>
    <w:p w14:paraId="42F3AEA3"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14:paraId="197F7663"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14:paraId="49ED7F44"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w:t>
      </w:r>
      <w:r w:rsidRPr="007F6219">
        <w:rPr>
          <w:rFonts w:ascii="Times New Roman" w:eastAsia="Times New Roman" w:hAnsi="Times New Roman" w:cs="Times New Roman"/>
          <w:color w:val="333333"/>
          <w:sz w:val="24"/>
          <w:szCs w:val="24"/>
          <w:lang w:eastAsia="ru-RU"/>
        </w:rPr>
        <w:lastRenderedPageBreak/>
        <w:t>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14:paraId="37384299"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045FBAD5"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678F2949"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bookmarkStart w:id="0" w:name="1108"/>
      <w:bookmarkStart w:id="1" w:name="1"/>
      <w:bookmarkEnd w:id="0"/>
      <w:bookmarkEnd w:id="1"/>
      <w:r w:rsidRPr="007F6219">
        <w:rPr>
          <w:rFonts w:ascii="Times New Roman" w:eastAsia="Times New Roman" w:hAnsi="Times New Roman" w:cs="Times New Roman"/>
          <w:color w:val="333333"/>
          <w:sz w:val="24"/>
          <w:szCs w:val="24"/>
          <w:lang w:eastAsia="ru-RU"/>
        </w:rPr>
        <w:t>108. При рассмотрении апелляции о несогласии с выставленными баллами на заседании апелляционной комиссии материалы, указанные в </w:t>
      </w:r>
      <w:hyperlink r:id="rId11" w:anchor="11071" w:history="1">
        <w:r w:rsidRPr="007F6219">
          <w:rPr>
            <w:rFonts w:ascii="Times New Roman" w:eastAsia="Times New Roman" w:hAnsi="Times New Roman" w:cs="Times New Roman"/>
            <w:color w:val="808080"/>
            <w:sz w:val="24"/>
            <w:szCs w:val="24"/>
            <w:u w:val="single"/>
            <w:bdr w:val="none" w:sz="0" w:space="0" w:color="auto" w:frame="1"/>
            <w:lang w:eastAsia="ru-RU"/>
          </w:rPr>
          <w:t>подпункте 1 пункта 107</w:t>
        </w:r>
      </w:hyperlink>
      <w:r w:rsidRPr="007F6219">
        <w:rPr>
          <w:rFonts w:ascii="Times New Roman" w:eastAsia="Times New Roman" w:hAnsi="Times New Roman" w:cs="Times New Roman"/>
          <w:color w:val="333333"/>
          <w:sz w:val="24"/>
          <w:szCs w:val="24"/>
          <w:lang w:eastAsia="ru-RU"/>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14:paraId="7A2FC04A"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В случае, установленном </w:t>
      </w:r>
      <w:hyperlink r:id="rId12" w:anchor="1099" w:history="1">
        <w:r w:rsidRPr="007F6219">
          <w:rPr>
            <w:rFonts w:ascii="Times New Roman" w:eastAsia="Times New Roman" w:hAnsi="Times New Roman" w:cs="Times New Roman"/>
            <w:color w:val="808080"/>
            <w:sz w:val="24"/>
            <w:szCs w:val="24"/>
            <w:u w:val="single"/>
            <w:bdr w:val="none" w:sz="0" w:space="0" w:color="auto" w:frame="1"/>
            <w:lang w:eastAsia="ru-RU"/>
          </w:rPr>
          <w:t>пунктом 99</w:t>
        </w:r>
      </w:hyperlink>
      <w:r w:rsidRPr="007F6219">
        <w:rPr>
          <w:rFonts w:ascii="Times New Roman" w:eastAsia="Times New Roman" w:hAnsi="Times New Roman" w:cs="Times New Roman"/>
          <w:color w:val="333333"/>
          <w:sz w:val="24"/>
          <w:szCs w:val="24"/>
          <w:lang w:eastAsia="ru-RU"/>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3" w:anchor="1106" w:history="1">
        <w:r w:rsidRPr="007F6219">
          <w:rPr>
            <w:rFonts w:ascii="Times New Roman" w:eastAsia="Times New Roman" w:hAnsi="Times New Roman" w:cs="Times New Roman"/>
            <w:color w:val="808080"/>
            <w:sz w:val="24"/>
            <w:szCs w:val="24"/>
            <w:u w:val="single"/>
            <w:bdr w:val="none" w:sz="0" w:space="0" w:color="auto" w:frame="1"/>
            <w:lang w:eastAsia="ru-RU"/>
          </w:rPr>
          <w:t>пунктом 106</w:t>
        </w:r>
      </w:hyperlink>
      <w:r w:rsidRPr="007F6219">
        <w:rPr>
          <w:rFonts w:ascii="Times New Roman" w:eastAsia="Times New Roman" w:hAnsi="Times New Roman" w:cs="Times New Roman"/>
          <w:color w:val="333333"/>
          <w:sz w:val="24"/>
          <w:szCs w:val="24"/>
          <w:lang w:eastAsia="ru-RU"/>
        </w:rPr>
        <w:t> Порядка,</w:t>
      </w:r>
    </w:p>
    <w:p w14:paraId="14F0D0DE"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7589A365"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4" w:anchor="1102" w:history="1">
        <w:r w:rsidRPr="007F6219">
          <w:rPr>
            <w:rFonts w:ascii="Times New Roman" w:eastAsia="Times New Roman" w:hAnsi="Times New Roman" w:cs="Times New Roman"/>
            <w:color w:val="808080"/>
            <w:sz w:val="24"/>
            <w:szCs w:val="24"/>
            <w:u w:val="single"/>
            <w:bdr w:val="none" w:sz="0" w:space="0" w:color="auto" w:frame="1"/>
            <w:lang w:eastAsia="ru-RU"/>
          </w:rPr>
          <w:t>пунктом 102</w:t>
        </w:r>
      </w:hyperlink>
      <w:r w:rsidRPr="007F6219">
        <w:rPr>
          <w:rFonts w:ascii="Times New Roman" w:eastAsia="Times New Roman" w:hAnsi="Times New Roman" w:cs="Times New Roman"/>
          <w:color w:val="333333"/>
          <w:sz w:val="24"/>
          <w:szCs w:val="24"/>
          <w:lang w:eastAsia="ru-RU"/>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3C4E5639"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109. По результатам рассмотрения апелляции о несогласии с выставленными баллами апелляционная комиссия принимает одно из решений:</w:t>
      </w:r>
    </w:p>
    <w:p w14:paraId="244E9E5A"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 об отклонении апелляции;</w:t>
      </w:r>
    </w:p>
    <w:p w14:paraId="771DADC5"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2) об удовлетворении апелляции.</w:t>
      </w:r>
    </w:p>
    <w:p w14:paraId="48A05EEB"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4B663D0E"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C411A34"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14:paraId="589707BE" w14:textId="77777777" w:rsidR="00AE7364" w:rsidRPr="007F6219" w:rsidRDefault="00AE7364" w:rsidP="007F6219">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7F6219">
        <w:rPr>
          <w:rFonts w:ascii="Times New Roman" w:eastAsia="Times New Roman" w:hAnsi="Times New Roman" w:cs="Times New Roman"/>
          <w:color w:val="333333"/>
          <w:sz w:val="24"/>
          <w:szCs w:val="24"/>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r w:rsidRPr="007F6219">
        <w:rPr>
          <w:rStyle w:val="a5"/>
          <w:rFonts w:ascii="Times New Roman" w:eastAsia="Times New Roman" w:hAnsi="Times New Roman" w:cs="Times New Roman"/>
          <w:color w:val="333333"/>
          <w:sz w:val="24"/>
          <w:szCs w:val="24"/>
          <w:lang w:eastAsia="ru-RU"/>
        </w:rPr>
        <w:footnoteReference w:id="1"/>
      </w:r>
    </w:p>
    <w:p w14:paraId="3510EF79" w14:textId="77777777" w:rsidR="00E71BCB" w:rsidRPr="00AE7364" w:rsidRDefault="00E71BCB" w:rsidP="00AE7364">
      <w:pPr>
        <w:jc w:val="both"/>
        <w:rPr>
          <w:rFonts w:ascii="Times New Roman" w:hAnsi="Times New Roman" w:cs="Times New Roman"/>
          <w:sz w:val="20"/>
          <w:szCs w:val="20"/>
        </w:rPr>
      </w:pPr>
    </w:p>
    <w:sectPr w:rsidR="00E71BCB" w:rsidRPr="00AE73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A71F" w14:textId="77777777" w:rsidR="00AE7364" w:rsidRDefault="00AE7364" w:rsidP="00AE7364">
      <w:pPr>
        <w:spacing w:after="0" w:line="240" w:lineRule="auto"/>
      </w:pPr>
      <w:r>
        <w:separator/>
      </w:r>
    </w:p>
  </w:endnote>
  <w:endnote w:type="continuationSeparator" w:id="0">
    <w:p w14:paraId="4AF4B6E7" w14:textId="77777777" w:rsidR="00AE7364" w:rsidRDefault="00AE7364" w:rsidP="00AE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51CB4" w14:textId="77777777" w:rsidR="00AE7364" w:rsidRDefault="00AE7364" w:rsidP="00AE7364">
      <w:pPr>
        <w:spacing w:after="0" w:line="240" w:lineRule="auto"/>
      </w:pPr>
      <w:r>
        <w:separator/>
      </w:r>
    </w:p>
  </w:footnote>
  <w:footnote w:type="continuationSeparator" w:id="0">
    <w:p w14:paraId="34230ED7" w14:textId="77777777" w:rsidR="00AE7364" w:rsidRDefault="00AE7364" w:rsidP="00AE7364">
      <w:pPr>
        <w:spacing w:after="0" w:line="240" w:lineRule="auto"/>
      </w:pPr>
      <w:r>
        <w:continuationSeparator/>
      </w:r>
    </w:p>
  </w:footnote>
  <w:footnote w:id="1">
    <w:p w14:paraId="6E92E0D9" w14:textId="77777777" w:rsidR="00AE7364" w:rsidRPr="00AE7364" w:rsidRDefault="00AE7364">
      <w:pPr>
        <w:pStyle w:val="a3"/>
        <w:rPr>
          <w:rFonts w:ascii="Times New Roman" w:hAnsi="Times New Roman" w:cs="Times New Roman"/>
          <w:sz w:val="18"/>
          <w:szCs w:val="18"/>
        </w:rPr>
      </w:pPr>
      <w:r>
        <w:rPr>
          <w:rStyle w:val="a5"/>
        </w:rPr>
        <w:footnoteRef/>
      </w:r>
      <w:r>
        <w:t xml:space="preserve"> </w:t>
      </w:r>
      <w:r w:rsidRPr="00AE7364">
        <w:rPr>
          <w:rFonts w:ascii="Times New Roman" w:hAnsi="Times New Roman" w:cs="Times New Roman"/>
          <w:sz w:val="18"/>
          <w:szCs w:val="18"/>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64"/>
    <w:rsid w:val="00096782"/>
    <w:rsid w:val="00395C8F"/>
    <w:rsid w:val="007F6219"/>
    <w:rsid w:val="00AE7364"/>
    <w:rsid w:val="00D22A95"/>
    <w:rsid w:val="00E7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3FEA"/>
  <w15:chartTrackingRefBased/>
  <w15:docId w15:val="{090E961B-17A9-4F5F-AC35-2400E6E6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E7364"/>
    <w:pPr>
      <w:spacing w:after="0" w:line="240" w:lineRule="auto"/>
    </w:pPr>
    <w:rPr>
      <w:sz w:val="20"/>
      <w:szCs w:val="20"/>
    </w:rPr>
  </w:style>
  <w:style w:type="character" w:customStyle="1" w:styleId="a4">
    <w:name w:val="Текст сноски Знак"/>
    <w:basedOn w:val="a0"/>
    <w:link w:val="a3"/>
    <w:uiPriority w:val="99"/>
    <w:semiHidden/>
    <w:rsid w:val="00AE7364"/>
    <w:rPr>
      <w:sz w:val="20"/>
      <w:szCs w:val="20"/>
    </w:rPr>
  </w:style>
  <w:style w:type="character" w:styleId="a5">
    <w:name w:val="footnote reference"/>
    <w:basedOn w:val="a0"/>
    <w:uiPriority w:val="99"/>
    <w:semiHidden/>
    <w:unhideWhenUsed/>
    <w:rsid w:val="00AE7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3" Type="http://schemas.openxmlformats.org/officeDocument/2006/relationships/webSettings" Target="webSettings.xml"/><Relationship Id="rId7"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6782488/" TargetMode="External"/><Relationship Id="rId11" Type="http://schemas.openxmlformats.org/officeDocument/2006/relationships/hyperlink" Target="https://www.garant.ru/products/ipo/prime/doc/40678248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arant.ru/products/ipo/prime/doc/406782488/" TargetMode="External"/><Relationship Id="rId4" Type="http://schemas.openxmlformats.org/officeDocument/2006/relationships/footnotes" Target="footnotes.xml"/><Relationship Id="rId9" Type="http://schemas.openxmlformats.org/officeDocument/2006/relationships/hyperlink" Target="https://www.garant.ru/products/ipo/prime/doc/406782488/" TargetMode="External"/><Relationship Id="rId14" Type="http://schemas.openxmlformats.org/officeDocument/2006/relationships/hyperlink" Target="https://www.garant.ru/products/ipo/prime/doc/40678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Татьяна Кайгородцева</cp:lastModifiedBy>
  <cp:revision>3</cp:revision>
  <dcterms:created xsi:type="dcterms:W3CDTF">2025-06-04T17:28:00Z</dcterms:created>
  <dcterms:modified xsi:type="dcterms:W3CDTF">2025-06-16T04:30:00Z</dcterms:modified>
</cp:coreProperties>
</file>